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C6481" w:rsidRPr="007C6481">
        <w:rPr>
          <w:sz w:val="28"/>
        </w:rPr>
        <w:t>Würfelturm</w:t>
      </w:r>
      <w:r w:rsidR="007C6481">
        <w:rPr>
          <w:sz w:val="28"/>
        </w:rPr>
        <w:t xml:space="preserve"> 2</w:t>
      </w:r>
      <w:bookmarkStart w:id="0" w:name="_GoBack"/>
      <w:bookmarkEnd w:id="0"/>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C6481" w:rsidTr="007C6481">
        <w:tc>
          <w:tcPr>
            <w:tcW w:w="2466" w:type="dxa"/>
            <w:vAlign w:val="center"/>
          </w:tcPr>
          <w:p w:rsidR="007C6481" w:rsidRPr="00E8215C" w:rsidRDefault="007C6481" w:rsidP="005C2F82">
            <w:pPr>
              <w:pStyle w:val="IQB-Merkmal"/>
              <w:rPr>
                <w:sz w:val="22"/>
              </w:rPr>
            </w:pPr>
            <w:r w:rsidRPr="00E8215C">
              <w:rPr>
                <w:sz w:val="22"/>
              </w:rPr>
              <w:t>Leitidee</w:t>
            </w:r>
          </w:p>
        </w:tc>
        <w:tc>
          <w:tcPr>
            <w:tcW w:w="6604" w:type="dxa"/>
          </w:tcPr>
          <w:p w:rsidR="007C6481" w:rsidRPr="00E8215C" w:rsidRDefault="007C6481" w:rsidP="005C2F82">
            <w:pPr>
              <w:pStyle w:val="IQB-Merkmalswert"/>
              <w:rPr>
                <w:sz w:val="22"/>
                <w:szCs w:val="22"/>
              </w:rPr>
            </w:pPr>
            <w:r w:rsidRPr="00E8215C">
              <w:rPr>
                <w:sz w:val="22"/>
                <w:szCs w:val="22"/>
              </w:rPr>
              <w:t>Funktionaler Zusammenhang (L4)</w:t>
            </w:r>
          </w:p>
        </w:tc>
      </w:tr>
      <w:tr w:rsidR="007C6481" w:rsidTr="007C6481">
        <w:tc>
          <w:tcPr>
            <w:tcW w:w="2466" w:type="dxa"/>
            <w:vAlign w:val="center"/>
          </w:tcPr>
          <w:p w:rsidR="007C6481" w:rsidRPr="00E8215C" w:rsidRDefault="007C6481" w:rsidP="005C2F82">
            <w:pPr>
              <w:pStyle w:val="IQB-Merkmal"/>
              <w:rPr>
                <w:sz w:val="22"/>
              </w:rPr>
            </w:pPr>
            <w:r w:rsidRPr="00E8215C">
              <w:rPr>
                <w:sz w:val="22"/>
              </w:rPr>
              <w:t>Allgemeine Komp</w:t>
            </w:r>
            <w:r w:rsidRPr="00E8215C">
              <w:rPr>
                <w:sz w:val="22"/>
              </w:rPr>
              <w:t>e</w:t>
            </w:r>
            <w:r w:rsidRPr="00E8215C">
              <w:rPr>
                <w:sz w:val="22"/>
              </w:rPr>
              <w:t>tenzen</w:t>
            </w:r>
          </w:p>
        </w:tc>
        <w:tc>
          <w:tcPr>
            <w:tcW w:w="6604" w:type="dxa"/>
          </w:tcPr>
          <w:p w:rsidR="007C6481" w:rsidRDefault="007C6481" w:rsidP="005C2F82">
            <w:pPr>
              <w:pStyle w:val="IQB-Merkmalswert"/>
              <w:rPr>
                <w:sz w:val="22"/>
                <w:szCs w:val="22"/>
              </w:rPr>
            </w:pPr>
            <w:r w:rsidRPr="00E8215C">
              <w:rPr>
                <w:sz w:val="22"/>
                <w:szCs w:val="22"/>
              </w:rPr>
              <w:t>Mit symbolischen, formalen und technischen Elementen der M</w:t>
            </w:r>
            <w:r w:rsidRPr="00E8215C">
              <w:rPr>
                <w:sz w:val="22"/>
                <w:szCs w:val="22"/>
              </w:rPr>
              <w:t>a</w:t>
            </w:r>
            <w:r w:rsidRPr="00E8215C">
              <w:rPr>
                <w:sz w:val="22"/>
                <w:szCs w:val="22"/>
              </w:rPr>
              <w:t>thematik umg</w:t>
            </w:r>
            <w:r w:rsidRPr="00E8215C">
              <w:rPr>
                <w:sz w:val="22"/>
                <w:szCs w:val="22"/>
              </w:rPr>
              <w:t>e</w:t>
            </w:r>
            <w:r>
              <w:rPr>
                <w:sz w:val="22"/>
                <w:szCs w:val="22"/>
              </w:rPr>
              <w:t>hen (K5)</w:t>
            </w:r>
          </w:p>
          <w:p w:rsidR="007C6481" w:rsidRPr="00E8215C" w:rsidRDefault="007C6481" w:rsidP="005C2F82">
            <w:pPr>
              <w:pStyle w:val="IQB-Merkmalswert"/>
              <w:rPr>
                <w:sz w:val="22"/>
                <w:szCs w:val="22"/>
              </w:rPr>
            </w:pPr>
            <w:r>
              <w:rPr>
                <w:sz w:val="22"/>
                <w:szCs w:val="22"/>
              </w:rPr>
              <w:t>Mathematisch kommunizieren</w:t>
            </w:r>
            <w:r w:rsidRPr="00E8215C">
              <w:rPr>
                <w:sz w:val="22"/>
                <w:szCs w:val="22"/>
              </w:rPr>
              <w:t xml:space="preserve"> (K6)</w:t>
            </w:r>
          </w:p>
        </w:tc>
      </w:tr>
      <w:tr w:rsidR="007C6481" w:rsidTr="007C6481">
        <w:tc>
          <w:tcPr>
            <w:tcW w:w="2466" w:type="dxa"/>
            <w:vAlign w:val="center"/>
          </w:tcPr>
          <w:p w:rsidR="007C6481" w:rsidRPr="00E8215C" w:rsidRDefault="007C6481" w:rsidP="005C2F82">
            <w:pPr>
              <w:pStyle w:val="IQB-Merkmal"/>
              <w:rPr>
                <w:sz w:val="22"/>
              </w:rPr>
            </w:pPr>
            <w:r w:rsidRPr="00E8215C">
              <w:rPr>
                <w:sz w:val="22"/>
              </w:rPr>
              <w:t>Anforderungsbereich</w:t>
            </w:r>
          </w:p>
        </w:tc>
        <w:tc>
          <w:tcPr>
            <w:tcW w:w="6604" w:type="dxa"/>
          </w:tcPr>
          <w:p w:rsidR="007C6481" w:rsidRPr="00E8215C" w:rsidRDefault="007C6481" w:rsidP="005C2F82">
            <w:pPr>
              <w:pStyle w:val="IQB-Merkmalswert"/>
              <w:rPr>
                <w:sz w:val="22"/>
                <w:szCs w:val="22"/>
              </w:rPr>
            </w:pPr>
            <w:r w:rsidRPr="00E8215C">
              <w:rPr>
                <w:sz w:val="22"/>
                <w:szCs w:val="22"/>
              </w:rPr>
              <w:t>II</w:t>
            </w:r>
          </w:p>
        </w:tc>
      </w:tr>
      <w:tr w:rsidR="007C6481" w:rsidTr="007C6481">
        <w:tc>
          <w:tcPr>
            <w:tcW w:w="2466" w:type="dxa"/>
            <w:vAlign w:val="center"/>
          </w:tcPr>
          <w:p w:rsidR="007C6481" w:rsidRPr="00E8215C" w:rsidRDefault="007C6481" w:rsidP="005C2F82">
            <w:pPr>
              <w:pStyle w:val="IQB-Merkmal"/>
              <w:rPr>
                <w:sz w:val="22"/>
              </w:rPr>
            </w:pPr>
            <w:r w:rsidRPr="00E8215C">
              <w:rPr>
                <w:sz w:val="22"/>
              </w:rPr>
              <w:t>Kompetenzstufe</w:t>
            </w:r>
          </w:p>
        </w:tc>
        <w:tc>
          <w:tcPr>
            <w:tcW w:w="6604" w:type="dxa"/>
          </w:tcPr>
          <w:p w:rsidR="007C6481" w:rsidRPr="00E8215C" w:rsidRDefault="007C6481" w:rsidP="005C2F82">
            <w:pPr>
              <w:pStyle w:val="IQB-Merkmalswert"/>
              <w:rPr>
                <w:sz w:val="22"/>
                <w:szCs w:val="22"/>
              </w:rPr>
            </w:pPr>
            <w:r w:rsidRPr="00E8215C">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C6481" w:rsidTr="007C6481">
        <w:tc>
          <w:tcPr>
            <w:tcW w:w="2466" w:type="dxa"/>
            <w:vAlign w:val="center"/>
          </w:tcPr>
          <w:p w:rsidR="007C6481" w:rsidRPr="00E8215C" w:rsidRDefault="007C6481" w:rsidP="005C2F82">
            <w:pPr>
              <w:pStyle w:val="IQB-Merkmal"/>
              <w:rPr>
                <w:sz w:val="22"/>
              </w:rPr>
            </w:pPr>
            <w:r w:rsidRPr="00E8215C">
              <w:rPr>
                <w:sz w:val="22"/>
              </w:rPr>
              <w:t>Leitidee</w:t>
            </w:r>
          </w:p>
        </w:tc>
        <w:tc>
          <w:tcPr>
            <w:tcW w:w="6604" w:type="dxa"/>
          </w:tcPr>
          <w:p w:rsidR="007C6481" w:rsidRPr="00E8215C" w:rsidRDefault="007C6481" w:rsidP="005C2F82">
            <w:pPr>
              <w:pStyle w:val="IQB-Merkmalswert"/>
              <w:rPr>
                <w:sz w:val="22"/>
                <w:szCs w:val="22"/>
              </w:rPr>
            </w:pPr>
            <w:r w:rsidRPr="00E8215C">
              <w:rPr>
                <w:sz w:val="22"/>
                <w:szCs w:val="22"/>
              </w:rPr>
              <w:t>Messen (L2)</w:t>
            </w:r>
          </w:p>
        </w:tc>
      </w:tr>
      <w:tr w:rsidR="007C6481" w:rsidTr="007C6481">
        <w:tc>
          <w:tcPr>
            <w:tcW w:w="2466" w:type="dxa"/>
            <w:vAlign w:val="center"/>
          </w:tcPr>
          <w:p w:rsidR="007C6481" w:rsidRPr="00E8215C" w:rsidRDefault="007C6481" w:rsidP="005C2F82">
            <w:pPr>
              <w:pStyle w:val="IQB-Merkmal"/>
              <w:rPr>
                <w:sz w:val="22"/>
              </w:rPr>
            </w:pPr>
            <w:r w:rsidRPr="00E8215C">
              <w:rPr>
                <w:sz w:val="22"/>
              </w:rPr>
              <w:t>Allgemeine Komp</w:t>
            </w:r>
            <w:r w:rsidRPr="00E8215C">
              <w:rPr>
                <w:sz w:val="22"/>
              </w:rPr>
              <w:t>e</w:t>
            </w:r>
            <w:r w:rsidRPr="00E8215C">
              <w:rPr>
                <w:sz w:val="22"/>
              </w:rPr>
              <w:t>tenzen</w:t>
            </w:r>
          </w:p>
        </w:tc>
        <w:tc>
          <w:tcPr>
            <w:tcW w:w="6604" w:type="dxa"/>
          </w:tcPr>
          <w:p w:rsidR="007C6481" w:rsidRDefault="007C6481" w:rsidP="005C2F82">
            <w:pPr>
              <w:pStyle w:val="IQB-Merkmalswert"/>
              <w:rPr>
                <w:sz w:val="22"/>
                <w:szCs w:val="22"/>
              </w:rPr>
            </w:pPr>
            <w:r>
              <w:rPr>
                <w:sz w:val="22"/>
                <w:szCs w:val="22"/>
              </w:rPr>
              <w:t>Mathematische Darstellungen verwenden (K4)</w:t>
            </w:r>
          </w:p>
          <w:p w:rsidR="007C6481" w:rsidRPr="00E8215C" w:rsidRDefault="007C6481" w:rsidP="005C2F82">
            <w:pPr>
              <w:pStyle w:val="IQB-Merkmalswert"/>
              <w:rPr>
                <w:sz w:val="22"/>
                <w:szCs w:val="22"/>
              </w:rPr>
            </w:pPr>
            <w:r w:rsidRPr="00E8215C">
              <w:rPr>
                <w:sz w:val="22"/>
                <w:szCs w:val="22"/>
              </w:rPr>
              <w:t>Mit symbolischen, formalen und technischen Elementen der M</w:t>
            </w:r>
            <w:r w:rsidRPr="00E8215C">
              <w:rPr>
                <w:sz w:val="22"/>
                <w:szCs w:val="22"/>
              </w:rPr>
              <w:t>a</w:t>
            </w:r>
            <w:r w:rsidRPr="00E8215C">
              <w:rPr>
                <w:sz w:val="22"/>
                <w:szCs w:val="22"/>
              </w:rPr>
              <w:t>thematik umgehen (K5)</w:t>
            </w:r>
          </w:p>
        </w:tc>
      </w:tr>
      <w:tr w:rsidR="007C6481" w:rsidTr="007C6481">
        <w:trPr>
          <w:trHeight w:val="43"/>
        </w:trPr>
        <w:tc>
          <w:tcPr>
            <w:tcW w:w="2466" w:type="dxa"/>
            <w:vAlign w:val="center"/>
          </w:tcPr>
          <w:p w:rsidR="007C6481" w:rsidRPr="00E8215C" w:rsidRDefault="007C6481" w:rsidP="005C2F82">
            <w:pPr>
              <w:pStyle w:val="IQB-Merkmal"/>
              <w:rPr>
                <w:sz w:val="22"/>
              </w:rPr>
            </w:pPr>
            <w:r w:rsidRPr="00E8215C">
              <w:rPr>
                <w:sz w:val="22"/>
              </w:rPr>
              <w:t>Anforderungsbereich</w:t>
            </w:r>
          </w:p>
        </w:tc>
        <w:tc>
          <w:tcPr>
            <w:tcW w:w="6604" w:type="dxa"/>
          </w:tcPr>
          <w:p w:rsidR="007C6481" w:rsidRPr="00E8215C" w:rsidRDefault="007C6481" w:rsidP="005C2F82">
            <w:pPr>
              <w:pStyle w:val="IQB-Merkmalswert"/>
              <w:rPr>
                <w:sz w:val="22"/>
                <w:szCs w:val="22"/>
              </w:rPr>
            </w:pPr>
            <w:r w:rsidRPr="00E8215C">
              <w:rPr>
                <w:sz w:val="22"/>
                <w:szCs w:val="22"/>
              </w:rPr>
              <w:t>II</w:t>
            </w:r>
          </w:p>
        </w:tc>
      </w:tr>
      <w:tr w:rsidR="007C6481" w:rsidTr="007C6481">
        <w:tc>
          <w:tcPr>
            <w:tcW w:w="2466" w:type="dxa"/>
            <w:vAlign w:val="center"/>
          </w:tcPr>
          <w:p w:rsidR="007C6481" w:rsidRPr="00E8215C" w:rsidRDefault="007C6481" w:rsidP="005C2F82">
            <w:pPr>
              <w:pStyle w:val="IQB-Merkmal"/>
              <w:rPr>
                <w:sz w:val="22"/>
              </w:rPr>
            </w:pPr>
            <w:r w:rsidRPr="00E8215C">
              <w:rPr>
                <w:sz w:val="22"/>
              </w:rPr>
              <w:t>Kompetenzstufe</w:t>
            </w:r>
          </w:p>
        </w:tc>
        <w:tc>
          <w:tcPr>
            <w:tcW w:w="6604" w:type="dxa"/>
          </w:tcPr>
          <w:p w:rsidR="007C6481" w:rsidRPr="00E8215C" w:rsidRDefault="007C6481" w:rsidP="005C2F82">
            <w:pPr>
              <w:pStyle w:val="IQB-Merkmalswert"/>
              <w:rPr>
                <w:sz w:val="22"/>
                <w:szCs w:val="22"/>
              </w:rPr>
            </w:pPr>
            <w:r w:rsidRPr="00E8215C">
              <w:rPr>
                <w:sz w:val="22"/>
                <w:szCs w:val="22"/>
              </w:rPr>
              <w:t>5</w:t>
            </w:r>
          </w:p>
        </w:tc>
      </w:tr>
    </w:tbl>
    <w:p w:rsidR="007C6481" w:rsidRPr="00694A63" w:rsidRDefault="007C6481" w:rsidP="007C6481">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C6481" w:rsidRPr="00E8215C" w:rsidTr="007C6481">
        <w:tc>
          <w:tcPr>
            <w:tcW w:w="2466" w:type="dxa"/>
            <w:vAlign w:val="center"/>
          </w:tcPr>
          <w:p w:rsidR="007C6481" w:rsidRPr="00E8215C" w:rsidRDefault="007C6481" w:rsidP="005C2F82">
            <w:pPr>
              <w:pStyle w:val="IQB-Merkmal"/>
              <w:rPr>
                <w:sz w:val="22"/>
              </w:rPr>
            </w:pPr>
            <w:r w:rsidRPr="00E8215C">
              <w:rPr>
                <w:sz w:val="22"/>
              </w:rPr>
              <w:t>Leitidee</w:t>
            </w:r>
          </w:p>
        </w:tc>
        <w:tc>
          <w:tcPr>
            <w:tcW w:w="6604" w:type="dxa"/>
          </w:tcPr>
          <w:p w:rsidR="007C6481" w:rsidRPr="00E8215C" w:rsidRDefault="007C6481" w:rsidP="005C2F82">
            <w:pPr>
              <w:pStyle w:val="IQB-Merkmalswert"/>
              <w:rPr>
                <w:sz w:val="22"/>
                <w:szCs w:val="22"/>
              </w:rPr>
            </w:pPr>
            <w:r w:rsidRPr="00E8215C">
              <w:rPr>
                <w:sz w:val="22"/>
                <w:szCs w:val="22"/>
              </w:rPr>
              <w:t>Funktionaler Zusammenhang (L4)</w:t>
            </w:r>
          </w:p>
        </w:tc>
      </w:tr>
      <w:tr w:rsidR="007C6481" w:rsidRPr="00E8215C" w:rsidTr="007C6481">
        <w:tc>
          <w:tcPr>
            <w:tcW w:w="2466" w:type="dxa"/>
            <w:vAlign w:val="center"/>
          </w:tcPr>
          <w:p w:rsidR="007C6481" w:rsidRPr="00E8215C" w:rsidRDefault="007C6481" w:rsidP="005C2F82">
            <w:pPr>
              <w:pStyle w:val="IQB-Merkmal"/>
              <w:rPr>
                <w:sz w:val="22"/>
              </w:rPr>
            </w:pPr>
            <w:r w:rsidRPr="00E8215C">
              <w:rPr>
                <w:sz w:val="22"/>
              </w:rPr>
              <w:t>Allgemeine Komp</w:t>
            </w:r>
            <w:r w:rsidRPr="00E8215C">
              <w:rPr>
                <w:sz w:val="22"/>
              </w:rPr>
              <w:t>e</w:t>
            </w:r>
            <w:r w:rsidRPr="00E8215C">
              <w:rPr>
                <w:sz w:val="22"/>
              </w:rPr>
              <w:t>tenzen</w:t>
            </w:r>
          </w:p>
        </w:tc>
        <w:tc>
          <w:tcPr>
            <w:tcW w:w="6604" w:type="dxa"/>
          </w:tcPr>
          <w:p w:rsidR="007C6481" w:rsidRDefault="007C6481" w:rsidP="005C2F82">
            <w:pPr>
              <w:pStyle w:val="IQB-Merkmalswert"/>
              <w:rPr>
                <w:sz w:val="22"/>
                <w:szCs w:val="22"/>
              </w:rPr>
            </w:pPr>
            <w:r w:rsidRPr="00E8215C">
              <w:rPr>
                <w:sz w:val="22"/>
                <w:szCs w:val="22"/>
              </w:rPr>
              <w:t>Problem</w:t>
            </w:r>
            <w:r>
              <w:rPr>
                <w:sz w:val="22"/>
                <w:szCs w:val="22"/>
              </w:rPr>
              <w:t>e mathematisch lösen (K2)</w:t>
            </w:r>
          </w:p>
          <w:p w:rsidR="007C6481" w:rsidRPr="00E8215C" w:rsidRDefault="007C6481" w:rsidP="005C2F82">
            <w:pPr>
              <w:pStyle w:val="IQB-Merkmalswert"/>
              <w:rPr>
                <w:sz w:val="22"/>
                <w:szCs w:val="22"/>
              </w:rPr>
            </w:pPr>
            <w:r w:rsidRPr="00E8215C">
              <w:rPr>
                <w:sz w:val="22"/>
                <w:szCs w:val="22"/>
              </w:rPr>
              <w:t>Mit symbolischen, formalen und technischen Elementen der M</w:t>
            </w:r>
            <w:r w:rsidRPr="00E8215C">
              <w:rPr>
                <w:sz w:val="22"/>
                <w:szCs w:val="22"/>
              </w:rPr>
              <w:t>a</w:t>
            </w:r>
            <w:r w:rsidRPr="00E8215C">
              <w:rPr>
                <w:sz w:val="22"/>
                <w:szCs w:val="22"/>
              </w:rPr>
              <w:t>thematik umgehen (K5)</w:t>
            </w:r>
          </w:p>
        </w:tc>
      </w:tr>
      <w:tr w:rsidR="007C6481" w:rsidRPr="00E8215C" w:rsidTr="007C6481">
        <w:tc>
          <w:tcPr>
            <w:tcW w:w="2466" w:type="dxa"/>
            <w:vAlign w:val="center"/>
          </w:tcPr>
          <w:p w:rsidR="007C6481" w:rsidRPr="00E8215C" w:rsidRDefault="007C6481" w:rsidP="005C2F82">
            <w:pPr>
              <w:pStyle w:val="IQB-Merkmal"/>
              <w:rPr>
                <w:sz w:val="22"/>
              </w:rPr>
            </w:pPr>
            <w:r w:rsidRPr="00E8215C">
              <w:rPr>
                <w:sz w:val="22"/>
              </w:rPr>
              <w:t>Anforderungsbereich</w:t>
            </w:r>
          </w:p>
        </w:tc>
        <w:tc>
          <w:tcPr>
            <w:tcW w:w="6604" w:type="dxa"/>
          </w:tcPr>
          <w:p w:rsidR="007C6481" w:rsidRPr="00E8215C" w:rsidRDefault="007C6481" w:rsidP="005C2F82">
            <w:pPr>
              <w:pStyle w:val="IQB-Merkmalswert"/>
              <w:rPr>
                <w:sz w:val="22"/>
                <w:szCs w:val="22"/>
              </w:rPr>
            </w:pPr>
            <w:r w:rsidRPr="00E8215C">
              <w:rPr>
                <w:sz w:val="22"/>
                <w:szCs w:val="22"/>
              </w:rPr>
              <w:t>II</w:t>
            </w:r>
          </w:p>
        </w:tc>
      </w:tr>
      <w:tr w:rsidR="007C6481" w:rsidRPr="00E8215C" w:rsidTr="007C6481">
        <w:tc>
          <w:tcPr>
            <w:tcW w:w="2466" w:type="dxa"/>
            <w:vAlign w:val="center"/>
          </w:tcPr>
          <w:p w:rsidR="007C6481" w:rsidRPr="00E8215C" w:rsidRDefault="007C6481" w:rsidP="005C2F82">
            <w:pPr>
              <w:pStyle w:val="IQB-Merkmal"/>
              <w:rPr>
                <w:sz w:val="22"/>
              </w:rPr>
            </w:pPr>
            <w:r w:rsidRPr="00E8215C">
              <w:rPr>
                <w:sz w:val="22"/>
              </w:rPr>
              <w:t>Kompetenzstufe</w:t>
            </w:r>
          </w:p>
        </w:tc>
        <w:tc>
          <w:tcPr>
            <w:tcW w:w="6604" w:type="dxa"/>
          </w:tcPr>
          <w:p w:rsidR="007C6481" w:rsidRPr="00E8215C" w:rsidRDefault="007C6481" w:rsidP="005C2F82">
            <w:pPr>
              <w:pStyle w:val="IQB-Merkmalswert"/>
              <w:rPr>
                <w:sz w:val="22"/>
                <w:szCs w:val="22"/>
              </w:rPr>
            </w:pPr>
            <w:r w:rsidRPr="00E8215C">
              <w:rPr>
                <w:sz w:val="22"/>
                <w:szCs w:val="22"/>
              </w:rPr>
              <w:t>5</w:t>
            </w:r>
          </w:p>
        </w:tc>
      </w:tr>
    </w:tbl>
    <w:p w:rsidR="00694A63" w:rsidRPr="00694A63" w:rsidRDefault="00694A63" w:rsidP="00694A63">
      <w:pPr>
        <w:pStyle w:val="IQB-Teilaufgabentitel"/>
        <w:rPr>
          <w:b/>
        </w:rPr>
      </w:pPr>
      <w:r w:rsidRPr="00694A63">
        <w:rPr>
          <w:b/>
        </w:rPr>
        <w:t>Aufgabenbezogener Kommentar</w:t>
      </w:r>
    </w:p>
    <w:p w:rsidR="007C6481" w:rsidRPr="007C6481" w:rsidRDefault="007C6481" w:rsidP="007C6481">
      <w:pPr>
        <w:jc w:val="both"/>
        <w:rPr>
          <w:rFonts w:ascii="Arial" w:hAnsi="Arial"/>
          <w:sz w:val="22"/>
          <w:szCs w:val="22"/>
        </w:rPr>
      </w:pPr>
      <w:r w:rsidRPr="007C6481">
        <w:rPr>
          <w:rFonts w:ascii="Arial" w:hAnsi="Arial"/>
          <w:sz w:val="22"/>
          <w:szCs w:val="22"/>
        </w:rPr>
        <w:t xml:space="preserve">In Teilaufgabe 1 und 3 der Aufgabe „Würfelturm“ steht ein funktionaler Zusammenhang im Vordergrund. Es wird entschieden, wie oft der x-te Würfel in den ersten passt. Deshalb werden diese Teilaufgaben der Leitidee </w:t>
      </w:r>
      <w:r w:rsidRPr="007C6481">
        <w:rPr>
          <w:rFonts w:ascii="Arial" w:hAnsi="Arial"/>
          <w:i/>
          <w:sz w:val="22"/>
          <w:szCs w:val="22"/>
        </w:rPr>
        <w:t>funktionaler Zusammenhang</w:t>
      </w:r>
      <w:r w:rsidRPr="007C6481">
        <w:rPr>
          <w:rFonts w:ascii="Arial" w:hAnsi="Arial"/>
          <w:sz w:val="22"/>
          <w:szCs w:val="22"/>
        </w:rPr>
        <w:t xml:space="preserve"> (L4) zugeordnet. In Teilaufgabe 2 wird eine Formel angegeben zur Berechnung des Volumens eines aus Würfeln zusammengesetzten Körpers. Daher steht in dieser Teilaufgabe die Leitidee </w:t>
      </w:r>
      <w:r w:rsidRPr="007C6481">
        <w:rPr>
          <w:rFonts w:ascii="Arial" w:hAnsi="Arial"/>
          <w:i/>
          <w:sz w:val="22"/>
          <w:szCs w:val="22"/>
        </w:rPr>
        <w:t>Messen</w:t>
      </w:r>
      <w:r w:rsidRPr="007C6481">
        <w:rPr>
          <w:rFonts w:ascii="Arial" w:hAnsi="Arial"/>
          <w:sz w:val="22"/>
          <w:szCs w:val="22"/>
        </w:rPr>
        <w:t> (L2) im Vordergrund.</w:t>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sz w:val="22"/>
          <w:szCs w:val="22"/>
        </w:rPr>
      </w:pPr>
      <w:r w:rsidRPr="007C6481">
        <w:rPr>
          <w:rFonts w:ascii="Arial" w:hAnsi="Arial"/>
          <w:sz w:val="22"/>
          <w:szCs w:val="22"/>
        </w:rPr>
        <w:t xml:space="preserve">In allen drei Teilaufgaben wird die Kompetenz </w:t>
      </w:r>
      <w:r w:rsidRPr="007C6481">
        <w:rPr>
          <w:rFonts w:ascii="Arial" w:hAnsi="Arial"/>
          <w:i/>
          <w:sz w:val="22"/>
          <w:szCs w:val="22"/>
        </w:rPr>
        <w:t>Mit symbolischen, formalen und technischen Elementen der Mathematik umzugehen</w:t>
      </w:r>
      <w:r w:rsidRPr="007C6481">
        <w:rPr>
          <w:rFonts w:ascii="Arial" w:hAnsi="Arial"/>
          <w:sz w:val="22"/>
          <w:szCs w:val="22"/>
        </w:rPr>
        <w:t xml:space="preserve"> (K5) benötigt. In Teilaufgabe 1 wird zusätzlich die Kompetenz </w:t>
      </w:r>
      <w:r w:rsidRPr="007C6481">
        <w:rPr>
          <w:rFonts w:ascii="Arial" w:hAnsi="Arial"/>
          <w:i/>
          <w:sz w:val="22"/>
          <w:szCs w:val="22"/>
        </w:rPr>
        <w:t>Mathematisch kommunizieren</w:t>
      </w:r>
      <w:r w:rsidRPr="007C6481">
        <w:rPr>
          <w:rFonts w:ascii="Arial" w:hAnsi="Arial"/>
          <w:sz w:val="22"/>
          <w:szCs w:val="22"/>
        </w:rPr>
        <w:t xml:space="preserve"> (K6) verlangt, da die Abbildung und der Aufgabentext sinnentnehmend erfasst werden müssen, in Teilaufgabe 2 wird zusätzlich die Kompetenz </w:t>
      </w:r>
      <w:r w:rsidRPr="007C6481">
        <w:rPr>
          <w:rFonts w:ascii="Arial" w:hAnsi="Arial"/>
          <w:i/>
          <w:sz w:val="22"/>
          <w:szCs w:val="22"/>
        </w:rPr>
        <w:t>Mathematische Darstellungen verwenden</w:t>
      </w:r>
      <w:r w:rsidRPr="007C6481">
        <w:rPr>
          <w:rFonts w:ascii="Arial" w:hAnsi="Arial"/>
          <w:sz w:val="22"/>
          <w:szCs w:val="22"/>
        </w:rPr>
        <w:t xml:space="preserve"> (K4) vorausgesetzt, da dort zur Darstellungsform Formel gewechselt wird, und in Teilaufgabe 3 wird zusätzlich die Kompetenz </w:t>
      </w:r>
      <w:r w:rsidRPr="007C6481">
        <w:rPr>
          <w:rFonts w:ascii="Arial" w:hAnsi="Arial"/>
          <w:i/>
          <w:sz w:val="22"/>
          <w:szCs w:val="22"/>
        </w:rPr>
        <w:t>Probleme mathematisch lösen</w:t>
      </w:r>
      <w:r w:rsidRPr="007C6481">
        <w:rPr>
          <w:rFonts w:ascii="Arial" w:hAnsi="Arial"/>
          <w:sz w:val="22"/>
          <w:szCs w:val="22"/>
        </w:rPr>
        <w:t> (K2) benötigt, da dort ein Problem gelöst werden muss, das aus dem Unterricht noch nicht bekannt ist.</w:t>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sz w:val="22"/>
          <w:szCs w:val="22"/>
        </w:rPr>
      </w:pPr>
      <w:r w:rsidRPr="007C6481">
        <w:rPr>
          <w:rFonts w:ascii="Arial" w:hAnsi="Arial"/>
          <w:sz w:val="22"/>
          <w:szCs w:val="22"/>
        </w:rPr>
        <w:t>Alle drei Teilaufgaben werden in den Anforderungsbereich II eingeordnet, da in allen drei Teilaufgaben mit Variablen und Termen bzw. Funktionen gearbeitet wird.</w:t>
      </w:r>
    </w:p>
    <w:p w:rsidR="00694A63" w:rsidRPr="00694A63" w:rsidRDefault="00694A63" w:rsidP="00694A63">
      <w:pPr>
        <w:pStyle w:val="IQB-Teilaufgabentitel"/>
        <w:rPr>
          <w:b/>
        </w:rPr>
      </w:pPr>
      <w:r w:rsidRPr="00694A63">
        <w:rPr>
          <w:b/>
        </w:rPr>
        <w:t>Anregungen für den Unterricht</w:t>
      </w:r>
    </w:p>
    <w:p w:rsidR="007C6481" w:rsidRPr="007C6481" w:rsidRDefault="007C6481" w:rsidP="007C6481">
      <w:pPr>
        <w:jc w:val="both"/>
        <w:rPr>
          <w:rFonts w:ascii="Arial" w:hAnsi="Arial"/>
          <w:sz w:val="22"/>
          <w:szCs w:val="22"/>
        </w:rPr>
      </w:pPr>
      <w:r w:rsidRPr="007C6481">
        <w:rPr>
          <w:rFonts w:ascii="Arial" w:hAnsi="Arial"/>
          <w:sz w:val="22"/>
          <w:szCs w:val="22"/>
        </w:rPr>
        <w:t xml:space="preserve">Die Aufgabe „Würfelturm“ kann im Unterricht dazu genutzt werden, Schülerinnen und Schülern exponentielles Wachstum näher zu bringen. Je nach Betrachtungsweise handelt es sich um eine exponentielle Zunahme (wenn die Anzahl der Würfel betrachtet wird) oder um eine exponentielle Abnahme (wenn das Volumen der Würfel betrachtet wird). Eine wesentliche Schwierigkeit dieser Aufgabe besteht darin, sich die Anzahl der Würfel vorzustellen, die die halbe Seitenlänge eines </w:t>
      </w:r>
      <w:r w:rsidRPr="007C6481">
        <w:rPr>
          <w:rFonts w:ascii="Arial" w:hAnsi="Arial"/>
          <w:sz w:val="22"/>
          <w:szCs w:val="22"/>
        </w:rPr>
        <w:lastRenderedPageBreak/>
        <w:t>anderen haben. In der Abbildung ist der Ausgangswürfel nicht unterteilt. So muss diese Vorstellung ausschließlich gedanklich hergestellt werden. Im Unterricht kann man leicht für eine enaktiv erfassbare Veranschaulichung des Sachverhalts sorgen, z. B. mithilfe von Spielwürfeln, die man zu einem größeren Würfel anordnet (siehe Abbildung 1).</w:t>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sz w:val="22"/>
          <w:szCs w:val="22"/>
        </w:rPr>
      </w:pPr>
      <w:r w:rsidRPr="007C6481">
        <w:rPr>
          <w:rFonts w:ascii="Arial" w:hAnsi="Arial"/>
          <w:noProof/>
          <w:sz w:val="22"/>
          <w:szCs w:val="22"/>
        </w:rPr>
        <w:drawing>
          <wp:inline distT="0" distB="0" distL="0" distR="0">
            <wp:extent cx="2879090" cy="2879090"/>
            <wp:effectExtent l="0" t="0" r="0" b="0"/>
            <wp:docPr id="9" name="Grafik 9" descr="M46602_Würfelturm_schwarz_wei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46602_Würfelturm_schwarz_weiß"/>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79090" cy="2879090"/>
                    </a:xfrm>
                    <a:prstGeom prst="rect">
                      <a:avLst/>
                    </a:prstGeom>
                    <a:noFill/>
                    <a:ln>
                      <a:noFill/>
                    </a:ln>
                  </pic:spPr>
                </pic:pic>
              </a:graphicData>
            </a:graphic>
          </wp:inline>
        </w:drawing>
      </w:r>
    </w:p>
    <w:p w:rsidR="007C6481" w:rsidRPr="007C6481" w:rsidRDefault="007C6481" w:rsidP="007C6481">
      <w:pPr>
        <w:rPr>
          <w:rFonts w:ascii="Arial" w:hAnsi="Arial"/>
          <w:bCs/>
          <w:i/>
          <w:sz w:val="20"/>
          <w:szCs w:val="20"/>
        </w:rPr>
      </w:pPr>
      <w:r w:rsidRPr="007C6481">
        <w:rPr>
          <w:rFonts w:ascii="Arial" w:hAnsi="Arial"/>
          <w:bCs/>
          <w:i/>
          <w:sz w:val="20"/>
          <w:szCs w:val="20"/>
        </w:rPr>
        <w:t>Abbildung 1: Würfelturm mit Spielwürfeln</w:t>
      </w:r>
    </w:p>
    <w:p w:rsidR="007C6481" w:rsidRPr="007C6481" w:rsidRDefault="007C6481" w:rsidP="007C6481">
      <w:pPr>
        <w:rPr>
          <w:rFonts w:ascii="Arial" w:hAnsi="Arial"/>
          <w:sz w:val="18"/>
        </w:rPr>
      </w:pPr>
    </w:p>
    <w:p w:rsidR="007C6481" w:rsidRPr="007C6481" w:rsidRDefault="007C6481" w:rsidP="007C6481">
      <w:pPr>
        <w:jc w:val="both"/>
        <w:rPr>
          <w:rFonts w:ascii="Arial" w:hAnsi="Arial"/>
          <w:sz w:val="22"/>
          <w:szCs w:val="22"/>
        </w:rPr>
      </w:pPr>
      <w:r w:rsidRPr="007C6481">
        <w:rPr>
          <w:rFonts w:ascii="Arial" w:hAnsi="Arial"/>
          <w:sz w:val="22"/>
          <w:szCs w:val="22"/>
        </w:rPr>
        <w:t>Will man den Sachverhalt weiter vereinfachen, kann die Oberfläche anstatt des Volumens eines Würfels betrachtet werden. In Vera8 2015 wurde dazu die folgende Aufgabe gestellt:</w:t>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b/>
          <w:sz w:val="22"/>
          <w:szCs w:val="22"/>
        </w:rPr>
      </w:pPr>
      <w:r w:rsidRPr="007C6481">
        <w:rPr>
          <w:rFonts w:ascii="Arial" w:hAnsi="Arial"/>
          <w:b/>
          <w:sz w:val="22"/>
          <w:szCs w:val="22"/>
        </w:rPr>
        <w:t>Beispielaufgabe „Würfeloberfläche“</w:t>
      </w:r>
    </w:p>
    <w:p w:rsidR="007C6481" w:rsidRPr="007C6481" w:rsidRDefault="007C6481" w:rsidP="007C6481">
      <w:pPr>
        <w:widowControl w:val="0"/>
        <w:spacing w:after="120"/>
        <w:rPr>
          <w:rFonts w:ascii="Arial" w:hAnsi="Arial"/>
          <w:sz w:val="18"/>
        </w:rPr>
      </w:pPr>
      <w:r w:rsidRPr="007C6481">
        <w:rPr>
          <w:rFonts w:ascii="Arial" w:hAnsi="Arial"/>
          <w:noProof/>
          <w:sz w:val="18"/>
        </w:rPr>
        <mc:AlternateContent>
          <mc:Choice Requires="wps">
            <w:drawing>
              <wp:anchor distT="0" distB="0" distL="114300" distR="114300" simplePos="0" relativeHeight="251659264" behindDoc="0" locked="0" layoutInCell="1" allowOverlap="1">
                <wp:simplePos x="0" y="0"/>
                <wp:positionH relativeFrom="column">
                  <wp:posOffset>24130</wp:posOffset>
                </wp:positionH>
                <wp:positionV relativeFrom="paragraph">
                  <wp:posOffset>1953260</wp:posOffset>
                </wp:positionV>
                <wp:extent cx="4206875" cy="0"/>
                <wp:effectExtent l="5080" t="10160" r="7620" b="8890"/>
                <wp:wrapNone/>
                <wp:docPr id="11" name="Gerade Verbindung mit Pfeil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06875"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42A19D" id="_x0000_t32" coordsize="21600,21600" o:spt="32" o:oned="t" path="m,l21600,21600e" filled="f">
                <v:path arrowok="t" fillok="f" o:connecttype="none"/>
                <o:lock v:ext="edit" shapetype="t"/>
              </v:shapetype>
              <v:shape id="Gerade Verbindung mit Pfeil 11" o:spid="_x0000_s1026" type="#_x0000_t32" style="position:absolute;margin-left:1.9pt;margin-top:153.8pt;width:331.2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" strokeweight=".5pt"/>
            </w:pict>
          </mc:Fallback>
        </mc:AlternateContent>
      </w:r>
      <w:r w:rsidRPr="007C6481">
        <w:rPr>
          <w:rFonts w:ascii="Arial" w:hAnsi="Arial"/>
          <w:noProof/>
          <w:sz w:val="18"/>
        </w:rPr>
        <w:drawing>
          <wp:inline distT="0" distB="0" distL="0" distR="0">
            <wp:extent cx="4324985" cy="19481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9">
                      <a:extLst>
                        <a:ext uri="{28A0092B-C50C-407E-A947-70E740481C1C}">
                          <a14:useLocalDpi xmlns:a14="http://schemas.microsoft.com/office/drawing/2010/main" val="0"/>
                        </a:ext>
                      </a:extLst>
                    </a:blip>
                    <a:srcRect b="53444"/>
                    <a:stretch>
                      <a:fillRect/>
                    </a:stretch>
                  </pic:blipFill>
                  <pic:spPr bwMode="auto">
                    <a:xfrm>
                      <a:off x="0" y="0"/>
                      <a:ext cx="4324985" cy="1948180"/>
                    </a:xfrm>
                    <a:prstGeom prst="rect">
                      <a:avLst/>
                    </a:prstGeom>
                    <a:noFill/>
                    <a:ln>
                      <a:noFill/>
                    </a:ln>
                  </pic:spPr>
                </pic:pic>
              </a:graphicData>
            </a:graphic>
          </wp:inline>
        </w:drawing>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sz w:val="22"/>
          <w:szCs w:val="22"/>
        </w:rPr>
      </w:pPr>
      <w:r w:rsidRPr="007C6481">
        <w:rPr>
          <w:rFonts w:ascii="Arial" w:hAnsi="Arial"/>
          <w:sz w:val="22"/>
          <w:szCs w:val="22"/>
        </w:rPr>
        <w:t>Darüber hinaus bietet insbesondere Teilaufgabe 2 von „Würfelturm“ die Gelegenheit über eine Summe nachzudenken, die unendlich viele Summanden hat. Hierzu stelle man sich vor, dass nach dem gleichen Muster unendlich viele weitere Würfel auf den Würfelturm gestapelt werden. Die Schülerinnen und Schüler sollen nun entscheiden, ob das Volumen unendlich groß wird oder ob das Volumen eine Obergrenze hat. Der naiven Anschauung zufolge sollte eine Summe mit unendlich vielen Summanden, die größer als 0 sind, auch unendlich groß werden. Allerdings steht dieser Anschauung der Umstand entgegen, dass auch die Volumina der einzelnen Würfel unendlich klein werden. Man demnach immer weniger hinzuaddiert.</w:t>
      </w:r>
    </w:p>
    <w:p w:rsidR="007C6481" w:rsidRPr="007C6481" w:rsidRDefault="007C6481" w:rsidP="007C6481">
      <w:pPr>
        <w:jc w:val="both"/>
        <w:rPr>
          <w:rFonts w:ascii="Arial" w:hAnsi="Arial"/>
          <w:sz w:val="22"/>
          <w:szCs w:val="22"/>
        </w:rPr>
      </w:pPr>
    </w:p>
    <w:p w:rsidR="007C6481" w:rsidRPr="007C6481" w:rsidRDefault="007C6481" w:rsidP="007C6481">
      <w:pPr>
        <w:jc w:val="both"/>
        <w:rPr>
          <w:rFonts w:ascii="Arial" w:hAnsi="Arial"/>
          <w:sz w:val="22"/>
          <w:szCs w:val="22"/>
        </w:rPr>
      </w:pPr>
      <w:r w:rsidRPr="007C6481">
        <w:rPr>
          <w:rFonts w:ascii="Arial" w:hAnsi="Arial"/>
          <w:sz w:val="22"/>
          <w:szCs w:val="22"/>
        </w:rPr>
        <w:t xml:space="preserve">Im Schulunterricht verläuft die Klärung dieser Frage in aller Regel nicht über die Thematisierung von unendlichen Reihen und dem Begriff der Konvergenz bzw. Divergenz. Dabei würde schnell deutlich, dass sowohl die Oberfläche als auch das Volumen des Würfelturms bei Hinzunahme unendlich vieler Würfel konvergiert. Im Unterricht kann diese Fragestellung dennoch zumindest der Anschauung nach geklärt werden. Mithilfe eines Tabellenkalkulationsprogramms können sehr gut die Oberfläche und das Volumen des Würfelturms mithilfe von Rekursionen bestimmt werden. Dabei wird einfach </w:t>
      </w:r>
      <w:r w:rsidRPr="007C6481">
        <w:rPr>
          <w:rFonts w:ascii="Arial" w:hAnsi="Arial"/>
          <w:sz w:val="22"/>
          <w:szCs w:val="22"/>
        </w:rPr>
        <w:lastRenderedPageBreak/>
        <w:t xml:space="preserve">zur Bestimmung des Volumens eines Würfelturms mit n Würfeln das Volumen des Würfels n zum Volumen des Würfelturms mit </w:t>
      </w:r>
      <w:r w:rsidRPr="007C6481">
        <w:rPr>
          <w:rFonts w:ascii="Arial" w:hAnsi="Arial"/>
          <w:position w:val="-4"/>
          <w:sz w:val="22"/>
          <w:szCs w:val="22"/>
        </w:rPr>
        <w:object w:dxaOrig="499"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24.95pt;height:12.1pt" o:ole="">
            <v:imagedata r:id="rId10" o:title=""/>
          </v:shape>
          <o:OLEObject Type="Embed" ProgID="Equation.DSMT4" ShapeID="_x0000_i1053" DrawAspect="Content" ObjectID="_1814857601" r:id="rId11"/>
        </w:object>
      </w:r>
      <w:r w:rsidRPr="007C6481">
        <w:rPr>
          <w:rFonts w:ascii="Arial" w:hAnsi="Arial"/>
          <w:sz w:val="22"/>
          <w:szCs w:val="22"/>
        </w:rPr>
        <w:t xml:space="preserve"> Würfeln addiert (siehe Abbildung 2).</w:t>
      </w:r>
    </w:p>
    <w:p w:rsidR="007C6481" w:rsidRPr="007C6481" w:rsidRDefault="007C6481" w:rsidP="007C6481">
      <w:pPr>
        <w:rPr>
          <w:rFonts w:ascii="Arial" w:hAnsi="Arial"/>
          <w:sz w:val="18"/>
        </w:rPr>
      </w:pPr>
    </w:p>
    <w:p w:rsidR="007C6481" w:rsidRPr="007C6481" w:rsidRDefault="007C6481" w:rsidP="007C6481">
      <w:pPr>
        <w:keepNext/>
        <w:rPr>
          <w:rFonts w:ascii="Arial" w:hAnsi="Arial"/>
          <w:sz w:val="18"/>
        </w:rPr>
      </w:pPr>
      <w:r w:rsidRPr="007C6481">
        <w:rPr>
          <w:rFonts w:ascii="Arial" w:hAnsi="Arial"/>
          <w:noProof/>
          <w:sz w:val="18"/>
        </w:rPr>
        <w:drawing>
          <wp:inline distT="0" distB="0" distL="0" distR="0">
            <wp:extent cx="6120130" cy="678815"/>
            <wp:effectExtent l="0" t="0" r="0" b="6985"/>
            <wp:docPr id="8" name="Grafik 8" descr="Bildschirmfoto vom 2016-12-12 12-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ildschirmfoto vom 2016-12-12 12-15-5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678815"/>
                    </a:xfrm>
                    <a:prstGeom prst="rect">
                      <a:avLst/>
                    </a:prstGeom>
                    <a:noFill/>
                    <a:ln>
                      <a:noFill/>
                    </a:ln>
                  </pic:spPr>
                </pic:pic>
              </a:graphicData>
            </a:graphic>
          </wp:inline>
        </w:drawing>
      </w:r>
    </w:p>
    <w:p w:rsidR="007C6481" w:rsidRPr="007C6481" w:rsidRDefault="007C6481" w:rsidP="007C6481">
      <w:pPr>
        <w:rPr>
          <w:rFonts w:ascii="Arial" w:hAnsi="Arial"/>
          <w:bCs/>
          <w:i/>
          <w:sz w:val="19"/>
          <w:szCs w:val="19"/>
        </w:rPr>
      </w:pPr>
      <w:r w:rsidRPr="007C6481">
        <w:rPr>
          <w:rFonts w:ascii="Arial" w:hAnsi="Arial"/>
          <w:bCs/>
          <w:i/>
          <w:sz w:val="19"/>
          <w:szCs w:val="19"/>
        </w:rPr>
        <w:t>Abbildung 2: Oberfläche und Volumen des Würfelturms in Abhängigkeit von der Seitenlänge des ersten Würfels</w:t>
      </w:r>
    </w:p>
    <w:p w:rsidR="007C6481" w:rsidRPr="007C6481" w:rsidRDefault="007C6481" w:rsidP="007C6481">
      <w:pPr>
        <w:rPr>
          <w:rFonts w:ascii="Arial" w:hAnsi="Arial"/>
          <w:sz w:val="18"/>
        </w:rPr>
      </w:pPr>
    </w:p>
    <w:p w:rsidR="007C6481" w:rsidRPr="007C6481" w:rsidRDefault="007C6481" w:rsidP="007C6481">
      <w:pPr>
        <w:jc w:val="both"/>
        <w:rPr>
          <w:rFonts w:ascii="Arial" w:hAnsi="Arial"/>
          <w:sz w:val="22"/>
          <w:szCs w:val="22"/>
        </w:rPr>
      </w:pPr>
      <w:r w:rsidRPr="007C6481">
        <w:rPr>
          <w:rFonts w:ascii="Arial" w:hAnsi="Arial"/>
          <w:sz w:val="22"/>
          <w:szCs w:val="22"/>
        </w:rPr>
        <w:t>Hier sind aus Platzgründen nur Würfeltürme mit maximal 10 Würfeln dargestellt. Vom Tabellenkalkulationsprogramm kann man die Spalten dieser Tabelle für Würfeltürme mit weiteren Würfeln einfach ergänzen lassen, ohne dass man selbst die Formeln eintippen muss. So können im Unterricht schnell weitere Würfeltürme mit sehr viel mehr Würfeln betrachtet werden. Wie man in der folgenden Abbildung 3 sehen kann, sind die Berechnungen nur von der Zelle B2 abhängig (dunkel hinterlegt), in der die Seitenlänge des ersten Würfels eingetragen wird.</w:t>
      </w:r>
    </w:p>
    <w:p w:rsidR="007C6481" w:rsidRPr="007C6481" w:rsidRDefault="007C6481" w:rsidP="007C6481">
      <w:pPr>
        <w:rPr>
          <w:rFonts w:ascii="Arial" w:hAnsi="Arial"/>
          <w:sz w:val="18"/>
        </w:rPr>
      </w:pPr>
    </w:p>
    <w:p w:rsidR="007C6481" w:rsidRPr="007C6481" w:rsidRDefault="007C6481" w:rsidP="007C6481">
      <w:pPr>
        <w:keepNext/>
        <w:rPr>
          <w:rFonts w:ascii="Arial" w:hAnsi="Arial"/>
          <w:sz w:val="18"/>
        </w:rPr>
      </w:pPr>
      <w:r w:rsidRPr="007C6481">
        <w:rPr>
          <w:rFonts w:ascii="Arial" w:hAnsi="Arial"/>
          <w:noProof/>
          <w:sz w:val="18"/>
        </w:rPr>
        <w:drawing>
          <wp:inline distT="0" distB="0" distL="0" distR="0">
            <wp:extent cx="6111240" cy="697230"/>
            <wp:effectExtent l="0" t="0" r="3810" b="7620"/>
            <wp:docPr id="6" name="Grafik 6" descr="Bildschirmfoto vom 2016-12-12 12-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ildschirmfoto vom 2016-12-12 12-18-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1240" cy="697230"/>
                    </a:xfrm>
                    <a:prstGeom prst="rect">
                      <a:avLst/>
                    </a:prstGeom>
                    <a:noFill/>
                    <a:ln>
                      <a:noFill/>
                    </a:ln>
                  </pic:spPr>
                </pic:pic>
              </a:graphicData>
            </a:graphic>
          </wp:inline>
        </w:drawing>
      </w:r>
    </w:p>
    <w:p w:rsidR="007C6481" w:rsidRPr="007C6481" w:rsidRDefault="007C6481" w:rsidP="007C6481">
      <w:pPr>
        <w:rPr>
          <w:rFonts w:ascii="Arial" w:hAnsi="Arial"/>
          <w:bCs/>
          <w:i/>
          <w:sz w:val="20"/>
          <w:szCs w:val="20"/>
        </w:rPr>
      </w:pPr>
      <w:r w:rsidRPr="007C6481">
        <w:rPr>
          <w:rFonts w:ascii="Arial" w:hAnsi="Arial"/>
          <w:bCs/>
          <w:i/>
          <w:sz w:val="20"/>
          <w:szCs w:val="20"/>
        </w:rPr>
        <w:t>Abbildung 3: Formeln im Tabellenkalkulationsprogramm</w:t>
      </w:r>
    </w:p>
    <w:p w:rsidR="007C6481" w:rsidRPr="007C6481" w:rsidRDefault="007C6481" w:rsidP="007C6481">
      <w:pPr>
        <w:rPr>
          <w:rFonts w:ascii="Arial" w:hAnsi="Arial"/>
          <w:sz w:val="18"/>
        </w:rPr>
      </w:pPr>
    </w:p>
    <w:p w:rsidR="007C6481" w:rsidRPr="007C6481" w:rsidRDefault="007C6481" w:rsidP="007C6481">
      <w:pPr>
        <w:jc w:val="both"/>
        <w:rPr>
          <w:rFonts w:ascii="Arial" w:hAnsi="Arial"/>
          <w:sz w:val="22"/>
          <w:szCs w:val="22"/>
        </w:rPr>
      </w:pPr>
      <w:r w:rsidRPr="007C6481">
        <w:rPr>
          <w:rFonts w:ascii="Arial" w:hAnsi="Arial"/>
          <w:sz w:val="22"/>
          <w:szCs w:val="22"/>
        </w:rPr>
        <w:t>Auf diese Weise erhalten Schülerinnen und Schüler einen anschaulich-intuitiven Zugang zur Konvergenz von Reihen. Selbstredend kann die Tabelle auch in einen Funktionsgraphen überführt werden. Hier wird dann ersichtlich, dass die Zunahme der Oberfläche und des Volumens immer weiter abnimmt. Im Mathematikunterricht spielt die hierdurch aufgebaute Vorstellung wieder eine Rolle, wenn beispielsweise in der Oberstufe uneigentliche Integrale mit einem nach rechts offenen Intervall betrachtet werden.</w:t>
      </w:r>
    </w:p>
    <w:p w:rsidR="00694A63" w:rsidRPr="005B2F65" w:rsidRDefault="00694A63" w:rsidP="007C6481">
      <w:pPr>
        <w:jc w:val="both"/>
        <w:rPr>
          <w:sz w:val="22"/>
          <w:szCs w:val="22"/>
        </w:rPr>
      </w:pPr>
    </w:p>
    <w:sectPr w:rsidR="00694A63" w:rsidRPr="005B2F65" w:rsidSect="00DB65DC">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C2968A5-6416-4174-A724-ED51FB75A961}"/>
    <w:embedBold r:id="rId2" w:fontKey="{4DE9C5B9-3AC9-4AB9-A29A-6E5E373727C6}"/>
    <w:embedItalic r:id="rId3" w:fontKey="{E435C29A-7F81-4D05-BC80-EC05526ECBAB}"/>
    <w:embedBoldItalic r:id="rId4" w:fontKey="{7577B10C-211F-4F45-9F92-2B813FFD89C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72EB6"/>
    <w:rsid w:val="00685869"/>
    <w:rsid w:val="00691281"/>
    <w:rsid w:val="00692E69"/>
    <w:rsid w:val="00694A63"/>
    <w:rsid w:val="00753D68"/>
    <w:rsid w:val="007569FC"/>
    <w:rsid w:val="00756CB3"/>
    <w:rsid w:val="00790FB0"/>
    <w:rsid w:val="007C6481"/>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rules v:ext="edit">
        <o:r id="V:Rule1" type="connector" idref="#_x0000_s1027"/>
        <o:r id="V:Rule2" type="connector" idref="#_x0000_s1029"/>
      </o:rules>
    </o:shapelayout>
  </w:shapeDefaults>
  <w:decimalSymbol w:val=","/>
  <w:listSeparator w:val=";"/>
  <w14:docId w14:val="69908E8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w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DB0988-29DC-4247-9F2B-7EC6F385C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768</Words>
  <Characters>5049</Characters>
  <Application>Microsoft Office Word</Application>
  <DocSecurity>0</DocSecurity>
  <Lines>100</Lines>
  <Paragraphs>40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2025-07-24T08:19:00Z</dcterms:created>
  <dcterms:modified xsi:type="dcterms:W3CDTF">2025-07-24T08:19:00Z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